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798F" w14:textId="04DDA7EE" w:rsidR="007C6EE9" w:rsidRPr="007C6EE9" w:rsidRDefault="007C6EE9" w:rsidP="007C6EE9">
      <w:pPr>
        <w:jc w:val="center"/>
        <w:rPr>
          <w:b/>
          <w:bCs/>
          <w:sz w:val="32"/>
          <w:szCs w:val="32"/>
        </w:rPr>
      </w:pPr>
      <w:r w:rsidRPr="007C6EE9">
        <w:rPr>
          <w:b/>
          <w:bCs/>
          <w:sz w:val="32"/>
          <w:szCs w:val="32"/>
        </w:rPr>
        <w:t xml:space="preserve">Comparing Toroidal Transformer Types for Technical Specification: </w:t>
      </w:r>
      <w:r>
        <w:rPr>
          <w:b/>
          <w:bCs/>
          <w:sz w:val="32"/>
          <w:szCs w:val="32"/>
        </w:rPr>
        <w:t>Open, Partially Encapsulated, Fully Encapsulated</w:t>
      </w:r>
    </w:p>
    <w:p w14:paraId="70F7DF8B" w14:textId="77777777" w:rsidR="00FF7291" w:rsidRDefault="00FF7291" w:rsidP="00C74812">
      <w:pPr>
        <w:rPr>
          <w:b/>
          <w:bCs/>
          <w:lang w:val="en-US"/>
        </w:rPr>
      </w:pPr>
    </w:p>
    <w:p w14:paraId="2D5A4DA1" w14:textId="5223E10C" w:rsidR="005B7316" w:rsidRPr="005B7316" w:rsidRDefault="005B7316" w:rsidP="005B7316">
      <w:pPr>
        <w:spacing w:line="360" w:lineRule="auto"/>
        <w:rPr>
          <w:color w:val="0E101A"/>
          <w:lang w:eastAsia="en-GB"/>
        </w:rPr>
      </w:pPr>
      <w:r w:rsidRPr="005B7316">
        <w:rPr>
          <w:color w:val="0E101A"/>
          <w:lang w:eastAsia="en-GB"/>
        </w:rPr>
        <w:t>Toroidal transformers are valued across industrial and OEM applications for their compactness, low stray magnetic fields, and high efficiency. However, the choice between different types</w:t>
      </w:r>
      <w:r>
        <w:rPr>
          <w:color w:val="0E101A"/>
          <w:lang w:eastAsia="en-GB"/>
        </w:rPr>
        <w:t>, particularly open, partially encapsulated, and fully encapsulated REO Types, RFT-O, RFT-MV, and RFT-VV, respectively,</w:t>
      </w:r>
      <w:r w:rsidRPr="005B7316">
        <w:rPr>
          <w:color w:val="0E101A"/>
          <w:lang w:eastAsia="en-GB"/>
        </w:rPr>
        <w:t xml:space="preserve"> has significant implications for mechanical integration, thermal management, cost structure, and environmental protection. This article provides a practical comparison to help technical specifiers make informed decisions based on project requirements.</w:t>
      </w:r>
    </w:p>
    <w:p w14:paraId="0B8100BC" w14:textId="77777777" w:rsidR="005B7316" w:rsidRDefault="005B7316" w:rsidP="005B7316">
      <w:pPr>
        <w:spacing w:line="360" w:lineRule="auto"/>
        <w:rPr>
          <w:b/>
          <w:bCs/>
          <w:color w:val="0E101A"/>
          <w:lang w:eastAsia="en-GB"/>
        </w:rPr>
      </w:pPr>
    </w:p>
    <w:p w14:paraId="7C60F652" w14:textId="7BF545BB" w:rsidR="005B7316" w:rsidRPr="005B7316" w:rsidRDefault="005B7316" w:rsidP="005B7316">
      <w:pPr>
        <w:spacing w:line="360" w:lineRule="auto"/>
        <w:rPr>
          <w:color w:val="0E101A"/>
          <w:lang w:eastAsia="en-GB"/>
        </w:rPr>
      </w:pPr>
      <w:r w:rsidRPr="005B7316">
        <w:rPr>
          <w:b/>
          <w:bCs/>
          <w:color w:val="0E101A"/>
          <w:lang w:eastAsia="en-GB"/>
        </w:rPr>
        <w:t>RFT-O (Open Core Toroidal Transformer)</w:t>
      </w:r>
    </w:p>
    <w:p w14:paraId="2ED6AA04" w14:textId="77777777" w:rsidR="005B7316" w:rsidRPr="005B7316" w:rsidRDefault="005B7316" w:rsidP="005B7316">
      <w:pPr>
        <w:spacing w:line="360" w:lineRule="auto"/>
        <w:rPr>
          <w:color w:val="0E101A"/>
          <w:lang w:eastAsia="en-GB"/>
        </w:rPr>
      </w:pPr>
      <w:r w:rsidRPr="005B7316">
        <w:rPr>
          <w:color w:val="0E101A"/>
          <w:lang w:eastAsia="en-GB"/>
        </w:rPr>
        <w:t>The RFT-O is a basic, open-design toroidal transformer. It represents the most economical option in terms of both material cost and production time, but not necessarily in terms of cost of ownership.</w:t>
      </w:r>
    </w:p>
    <w:p w14:paraId="7C45299A" w14:textId="77777777" w:rsidR="005B7316" w:rsidRPr="005B7316" w:rsidRDefault="005B7316" w:rsidP="005B7316">
      <w:pPr>
        <w:spacing w:line="360" w:lineRule="auto"/>
        <w:rPr>
          <w:color w:val="0E101A"/>
          <w:lang w:eastAsia="en-GB"/>
        </w:rPr>
      </w:pPr>
      <w:r w:rsidRPr="005B7316">
        <w:rPr>
          <w:b/>
          <w:bCs/>
          <w:color w:val="0E101A"/>
          <w:lang w:eastAsia="en-GB"/>
        </w:rPr>
        <w:t>Advantages:</w:t>
      </w:r>
    </w:p>
    <w:p w14:paraId="0459E419" w14:textId="77777777" w:rsidR="005B7316" w:rsidRPr="005B7316" w:rsidRDefault="005B7316" w:rsidP="005B7316">
      <w:pPr>
        <w:spacing w:line="360" w:lineRule="auto"/>
        <w:rPr>
          <w:color w:val="0E101A"/>
          <w:lang w:eastAsia="en-GB"/>
        </w:rPr>
      </w:pPr>
      <w:r w:rsidRPr="005B7316">
        <w:rPr>
          <w:color w:val="0E101A"/>
          <w:lang w:eastAsia="en-GB"/>
        </w:rPr>
        <w:t>- Lightweight Construction: With minimal encapsulation and no integral mounting base, the RFT-O offers the lowest weight of all three types.</w:t>
      </w:r>
    </w:p>
    <w:p w14:paraId="07903CF9" w14:textId="77777777" w:rsidR="005B7316" w:rsidRPr="005B7316" w:rsidRDefault="005B7316" w:rsidP="005B7316">
      <w:pPr>
        <w:spacing w:line="360" w:lineRule="auto"/>
        <w:rPr>
          <w:color w:val="0E101A"/>
          <w:lang w:eastAsia="en-GB"/>
        </w:rPr>
      </w:pPr>
      <w:r w:rsidRPr="005B7316">
        <w:rPr>
          <w:color w:val="0E101A"/>
          <w:lang w:eastAsia="en-GB"/>
        </w:rPr>
        <w:t>- Cost-Efficient Manufacturing: The simplified structure reduces raw material use and labour, offering significant cost savings.</w:t>
      </w:r>
    </w:p>
    <w:p w14:paraId="437FBE2D" w14:textId="77777777" w:rsidR="005B7316" w:rsidRPr="005B7316" w:rsidRDefault="005B7316" w:rsidP="005B7316">
      <w:pPr>
        <w:spacing w:line="360" w:lineRule="auto"/>
        <w:rPr>
          <w:color w:val="0E101A"/>
          <w:lang w:eastAsia="en-GB"/>
        </w:rPr>
      </w:pPr>
      <w:r w:rsidRPr="005B7316">
        <w:rPr>
          <w:color w:val="0E101A"/>
          <w:lang w:eastAsia="en-GB"/>
        </w:rPr>
        <w:t>- Compact Dimensions: The absence of potting material results in smaller outer dimensions.</w:t>
      </w:r>
    </w:p>
    <w:p w14:paraId="16AF9426" w14:textId="77777777" w:rsidR="005B7316" w:rsidRPr="005B7316" w:rsidRDefault="005B7316" w:rsidP="005B7316">
      <w:pPr>
        <w:spacing w:line="360" w:lineRule="auto"/>
        <w:rPr>
          <w:color w:val="0E101A"/>
          <w:lang w:eastAsia="en-GB"/>
        </w:rPr>
      </w:pPr>
      <w:r w:rsidRPr="005B7316">
        <w:rPr>
          <w:b/>
          <w:bCs/>
          <w:color w:val="0E101A"/>
          <w:lang w:eastAsia="en-GB"/>
        </w:rPr>
        <w:t>Limitations:</w:t>
      </w:r>
    </w:p>
    <w:p w14:paraId="68D33A70" w14:textId="77777777" w:rsidR="005B7316" w:rsidRPr="005B7316" w:rsidRDefault="005B7316" w:rsidP="005B7316">
      <w:pPr>
        <w:spacing w:line="360" w:lineRule="auto"/>
        <w:rPr>
          <w:color w:val="0E101A"/>
          <w:lang w:eastAsia="en-GB"/>
        </w:rPr>
      </w:pPr>
      <w:r w:rsidRPr="005B7316">
        <w:rPr>
          <w:color w:val="0E101A"/>
          <w:lang w:eastAsia="en-GB"/>
        </w:rPr>
        <w:t>- No Integrated Mounting System: The absence of a fixed base necessitates the use of external mounting hardware.</w:t>
      </w:r>
    </w:p>
    <w:p w14:paraId="0A75C337" w14:textId="77777777" w:rsidR="005B7316" w:rsidRPr="005B7316" w:rsidRDefault="005B7316" w:rsidP="005B7316">
      <w:pPr>
        <w:spacing w:line="360" w:lineRule="auto"/>
        <w:rPr>
          <w:color w:val="0E101A"/>
          <w:lang w:eastAsia="en-GB"/>
        </w:rPr>
      </w:pPr>
      <w:r w:rsidRPr="005B7316">
        <w:rPr>
          <w:color w:val="0E101A"/>
          <w:lang w:eastAsia="en-GB"/>
        </w:rPr>
        <w:t>- Limited Mechanical Protection: Without encapsulation, the windings and insulation are exposed to environmental factors, which can compromise their integrity.</w:t>
      </w:r>
    </w:p>
    <w:p w14:paraId="62CED75D" w14:textId="77777777" w:rsidR="005B7316" w:rsidRDefault="005B7316" w:rsidP="005B7316">
      <w:pPr>
        <w:spacing w:line="360" w:lineRule="auto"/>
        <w:rPr>
          <w:color w:val="0E101A"/>
          <w:lang w:eastAsia="en-GB"/>
        </w:rPr>
      </w:pPr>
      <w:r w:rsidRPr="005B7316">
        <w:rPr>
          <w:b/>
          <w:bCs/>
          <w:color w:val="0E101A"/>
          <w:lang w:eastAsia="en-GB"/>
        </w:rPr>
        <w:t>Specifying Notes</w:t>
      </w:r>
      <w:r w:rsidRPr="005B7316">
        <w:rPr>
          <w:color w:val="0E101A"/>
          <w:lang w:eastAsia="en-GB"/>
        </w:rPr>
        <w:t xml:space="preserve">: While “faster in production” is sometimes cited, this may not be universally applicable. Handling and mounting steps can offset savings in winding </w:t>
      </w:r>
      <w:r w:rsidRPr="005B7316">
        <w:rPr>
          <w:color w:val="0E101A"/>
          <w:lang w:eastAsia="en-GB"/>
        </w:rPr>
        <w:lastRenderedPageBreak/>
        <w:t>time. RFT-O is best specified in controlled environments where cost and weight are key priorities.</w:t>
      </w:r>
    </w:p>
    <w:p w14:paraId="64BC3F7F" w14:textId="77777777" w:rsidR="005B7316" w:rsidRPr="005B7316" w:rsidRDefault="005B7316" w:rsidP="005B7316">
      <w:pPr>
        <w:spacing w:line="360" w:lineRule="auto"/>
        <w:rPr>
          <w:color w:val="0E101A"/>
          <w:lang w:eastAsia="en-GB"/>
        </w:rPr>
      </w:pPr>
    </w:p>
    <w:p w14:paraId="34290871" w14:textId="77777777" w:rsidR="005B7316" w:rsidRPr="005B7316" w:rsidRDefault="005B7316" w:rsidP="005B7316">
      <w:pPr>
        <w:spacing w:line="360" w:lineRule="auto"/>
        <w:rPr>
          <w:color w:val="0E101A"/>
          <w:lang w:eastAsia="en-GB"/>
        </w:rPr>
      </w:pPr>
      <w:r w:rsidRPr="005B7316">
        <w:rPr>
          <w:b/>
          <w:bCs/>
          <w:color w:val="0E101A"/>
          <w:lang w:eastAsia="en-GB"/>
        </w:rPr>
        <w:t>RFT-MV (Centre-Hole Potted Toroidal Transformer)</w:t>
      </w:r>
    </w:p>
    <w:p w14:paraId="2535A1FB" w14:textId="77777777" w:rsidR="005B7316" w:rsidRPr="005B7316" w:rsidRDefault="005B7316" w:rsidP="005B7316">
      <w:pPr>
        <w:spacing w:line="360" w:lineRule="auto"/>
        <w:rPr>
          <w:color w:val="0E101A"/>
          <w:lang w:eastAsia="en-GB"/>
        </w:rPr>
      </w:pPr>
      <w:r w:rsidRPr="005B7316">
        <w:rPr>
          <w:color w:val="0E101A"/>
          <w:lang w:eastAsia="en-GB"/>
        </w:rPr>
        <w:t>The RFT-MV is a hybrid solution — partially potted with centre-hole mounting. It offers a compromise between robustness and cost-efficiency.</w:t>
      </w:r>
    </w:p>
    <w:p w14:paraId="49D5BEEF" w14:textId="77777777" w:rsidR="005B7316" w:rsidRDefault="005B7316" w:rsidP="005B7316">
      <w:pPr>
        <w:spacing w:line="360" w:lineRule="auto"/>
        <w:rPr>
          <w:b/>
          <w:bCs/>
          <w:color w:val="0E101A"/>
          <w:lang w:eastAsia="en-GB"/>
        </w:rPr>
      </w:pPr>
    </w:p>
    <w:p w14:paraId="1593E63D" w14:textId="24DCE8A5" w:rsidR="005B7316" w:rsidRPr="005B7316" w:rsidRDefault="005B7316" w:rsidP="005B7316">
      <w:pPr>
        <w:spacing w:line="360" w:lineRule="auto"/>
        <w:rPr>
          <w:color w:val="0E101A"/>
          <w:lang w:eastAsia="en-GB"/>
        </w:rPr>
      </w:pPr>
      <w:r w:rsidRPr="005B7316">
        <w:rPr>
          <w:b/>
          <w:bCs/>
          <w:color w:val="0E101A"/>
          <w:lang w:eastAsia="en-GB"/>
        </w:rPr>
        <w:t>Advantages:</w:t>
      </w:r>
    </w:p>
    <w:p w14:paraId="65F473A5" w14:textId="77777777" w:rsidR="005B7316" w:rsidRPr="005B7316" w:rsidRDefault="005B7316" w:rsidP="005B7316">
      <w:pPr>
        <w:spacing w:line="360" w:lineRule="auto"/>
        <w:rPr>
          <w:color w:val="0E101A"/>
          <w:lang w:eastAsia="en-GB"/>
        </w:rPr>
      </w:pPr>
      <w:r w:rsidRPr="005B7316">
        <w:rPr>
          <w:color w:val="0E101A"/>
          <w:lang w:eastAsia="en-GB"/>
        </w:rPr>
        <w:t>- Improved Mounting and Safety: The potted centre area allows direct installation with a single central screw.</w:t>
      </w:r>
    </w:p>
    <w:p w14:paraId="6E0577B3" w14:textId="77777777" w:rsidR="005B7316" w:rsidRPr="005B7316" w:rsidRDefault="005B7316" w:rsidP="005B7316">
      <w:pPr>
        <w:spacing w:line="360" w:lineRule="auto"/>
        <w:rPr>
          <w:color w:val="0E101A"/>
          <w:lang w:eastAsia="en-GB"/>
        </w:rPr>
      </w:pPr>
      <w:r w:rsidRPr="005B7316">
        <w:rPr>
          <w:color w:val="0E101A"/>
          <w:lang w:eastAsia="en-GB"/>
        </w:rPr>
        <w:t>- Moderate Size and Weight: Smaller than fully potted units but more stable than open-core designs.</w:t>
      </w:r>
    </w:p>
    <w:p w14:paraId="62CE0A68" w14:textId="77777777" w:rsidR="005B7316" w:rsidRPr="005B7316" w:rsidRDefault="005B7316" w:rsidP="005B7316">
      <w:pPr>
        <w:spacing w:line="360" w:lineRule="auto"/>
        <w:rPr>
          <w:color w:val="0E101A"/>
          <w:lang w:eastAsia="en-GB"/>
        </w:rPr>
      </w:pPr>
      <w:r w:rsidRPr="005B7316">
        <w:rPr>
          <w:color w:val="0E101A"/>
          <w:lang w:eastAsia="en-GB"/>
        </w:rPr>
        <w:t>- Reduced Installation Time: With no extra fixing parts, the RFT-MV simplifies installation.</w:t>
      </w:r>
    </w:p>
    <w:p w14:paraId="3C538500" w14:textId="77777777" w:rsidR="005B7316" w:rsidRDefault="005B7316" w:rsidP="005B7316">
      <w:pPr>
        <w:spacing w:line="360" w:lineRule="auto"/>
        <w:rPr>
          <w:b/>
          <w:bCs/>
          <w:color w:val="0E101A"/>
          <w:lang w:eastAsia="en-GB"/>
        </w:rPr>
      </w:pPr>
    </w:p>
    <w:p w14:paraId="157225B4" w14:textId="280AAB1F" w:rsidR="005B7316" w:rsidRPr="005B7316" w:rsidRDefault="005B7316" w:rsidP="005B7316">
      <w:pPr>
        <w:spacing w:line="360" w:lineRule="auto"/>
        <w:rPr>
          <w:color w:val="0E101A"/>
          <w:lang w:eastAsia="en-GB"/>
        </w:rPr>
      </w:pPr>
      <w:r w:rsidRPr="005B7316">
        <w:rPr>
          <w:b/>
          <w:bCs/>
          <w:color w:val="0E101A"/>
          <w:lang w:eastAsia="en-GB"/>
        </w:rPr>
        <w:t>Limitations:</w:t>
      </w:r>
    </w:p>
    <w:p w14:paraId="571D2FC6" w14:textId="77777777" w:rsidR="005B7316" w:rsidRPr="005B7316" w:rsidRDefault="005B7316" w:rsidP="005B7316">
      <w:pPr>
        <w:spacing w:line="360" w:lineRule="auto"/>
        <w:rPr>
          <w:color w:val="0E101A"/>
          <w:lang w:eastAsia="en-GB"/>
        </w:rPr>
      </w:pPr>
      <w:r w:rsidRPr="005B7316">
        <w:rPr>
          <w:color w:val="0E101A"/>
          <w:lang w:eastAsia="en-GB"/>
        </w:rPr>
        <w:t>- Higher Material and Production Costs than RFT-O.</w:t>
      </w:r>
    </w:p>
    <w:p w14:paraId="15BEA06A" w14:textId="77777777" w:rsidR="005B7316" w:rsidRPr="005B7316" w:rsidRDefault="005B7316" w:rsidP="005B7316">
      <w:pPr>
        <w:spacing w:line="360" w:lineRule="auto"/>
        <w:rPr>
          <w:color w:val="0E101A"/>
          <w:lang w:eastAsia="en-GB"/>
        </w:rPr>
      </w:pPr>
      <w:r w:rsidRPr="005B7316">
        <w:rPr>
          <w:color w:val="0E101A"/>
          <w:lang w:eastAsia="en-GB"/>
        </w:rPr>
        <w:t>- Less Protection than RFT-VV: While improved over RFT-O, the protection level may not be sufficient for specific applications.</w:t>
      </w:r>
    </w:p>
    <w:p w14:paraId="18764FEB" w14:textId="77777777" w:rsidR="005B7316" w:rsidRDefault="005B7316" w:rsidP="005B7316">
      <w:pPr>
        <w:spacing w:line="360" w:lineRule="auto"/>
        <w:rPr>
          <w:b/>
          <w:bCs/>
          <w:color w:val="0E101A"/>
          <w:lang w:eastAsia="en-GB"/>
        </w:rPr>
      </w:pPr>
    </w:p>
    <w:p w14:paraId="4D1CC20C" w14:textId="7EC45E6B" w:rsidR="005B7316" w:rsidRPr="005B7316" w:rsidRDefault="005B7316" w:rsidP="005B7316">
      <w:pPr>
        <w:spacing w:line="360" w:lineRule="auto"/>
        <w:rPr>
          <w:color w:val="0E101A"/>
          <w:lang w:eastAsia="en-GB"/>
        </w:rPr>
      </w:pPr>
      <w:r w:rsidRPr="005B7316">
        <w:rPr>
          <w:b/>
          <w:bCs/>
          <w:color w:val="0E101A"/>
          <w:lang w:eastAsia="en-GB"/>
        </w:rPr>
        <w:t>Specifying Notes</w:t>
      </w:r>
      <w:r w:rsidRPr="005B7316">
        <w:rPr>
          <w:color w:val="0E101A"/>
          <w:lang w:eastAsia="en-GB"/>
        </w:rPr>
        <w:t xml:space="preserve">: The RFT-MV provides an effective balance of </w:t>
      </w:r>
      <w:r>
        <w:rPr>
          <w:color w:val="0E101A"/>
          <w:lang w:eastAsia="en-GB"/>
        </w:rPr>
        <w:t xml:space="preserve">ease of </w:t>
      </w:r>
      <w:proofErr w:type="gramStart"/>
      <w:r>
        <w:rPr>
          <w:color w:val="0E101A"/>
          <w:lang w:eastAsia="en-GB"/>
        </w:rPr>
        <w:t xml:space="preserve">installation, </w:t>
      </w:r>
      <w:r w:rsidRPr="005B7316">
        <w:rPr>
          <w:color w:val="0E101A"/>
          <w:lang w:eastAsia="en-GB"/>
        </w:rPr>
        <w:t xml:space="preserve"> mechanical</w:t>
      </w:r>
      <w:proofErr w:type="gramEnd"/>
      <w:r w:rsidRPr="005B7316">
        <w:rPr>
          <w:color w:val="0E101A"/>
          <w:lang w:eastAsia="en-GB"/>
        </w:rPr>
        <w:t xml:space="preserve"> stability, and cost. It is well suited for use in measurement devices, test equipment, and general industrial control applications.</w:t>
      </w:r>
    </w:p>
    <w:p w14:paraId="6896D170" w14:textId="77777777" w:rsidR="005B7316" w:rsidRDefault="005B7316" w:rsidP="005B7316">
      <w:pPr>
        <w:spacing w:line="360" w:lineRule="auto"/>
        <w:rPr>
          <w:b/>
          <w:bCs/>
          <w:color w:val="0E101A"/>
          <w:lang w:eastAsia="en-GB"/>
        </w:rPr>
      </w:pPr>
    </w:p>
    <w:p w14:paraId="634D2165" w14:textId="4E673631" w:rsidR="005B7316" w:rsidRPr="005B7316" w:rsidRDefault="005B7316" w:rsidP="005B7316">
      <w:pPr>
        <w:spacing w:line="360" w:lineRule="auto"/>
        <w:rPr>
          <w:color w:val="0E101A"/>
          <w:lang w:eastAsia="en-GB"/>
        </w:rPr>
      </w:pPr>
      <w:r w:rsidRPr="005B7316">
        <w:rPr>
          <w:b/>
          <w:bCs/>
          <w:color w:val="0E101A"/>
          <w:lang w:eastAsia="en-GB"/>
        </w:rPr>
        <w:t>RFT-VV (Fully Potted Toroidal Transformer)</w:t>
      </w:r>
    </w:p>
    <w:p w14:paraId="21071422" w14:textId="77777777" w:rsidR="005B7316" w:rsidRPr="005B7316" w:rsidRDefault="005B7316" w:rsidP="005B7316">
      <w:pPr>
        <w:spacing w:line="360" w:lineRule="auto"/>
        <w:rPr>
          <w:color w:val="0E101A"/>
          <w:lang w:eastAsia="en-GB"/>
        </w:rPr>
      </w:pPr>
      <w:r w:rsidRPr="005B7316">
        <w:rPr>
          <w:color w:val="0E101A"/>
          <w:lang w:eastAsia="en-GB"/>
        </w:rPr>
        <w:t>The RFT-VV is fully encapsulated in a resin compound, providing the highest level of environmental and mechanical protection.</w:t>
      </w:r>
    </w:p>
    <w:p w14:paraId="417F9604" w14:textId="77777777" w:rsidR="005B7316" w:rsidRDefault="005B7316" w:rsidP="005B7316">
      <w:pPr>
        <w:spacing w:line="360" w:lineRule="auto"/>
        <w:rPr>
          <w:b/>
          <w:bCs/>
          <w:color w:val="0E101A"/>
          <w:lang w:eastAsia="en-GB"/>
        </w:rPr>
      </w:pPr>
    </w:p>
    <w:p w14:paraId="279C1A2B" w14:textId="7CED9525" w:rsidR="005B7316" w:rsidRPr="005B7316" w:rsidRDefault="005B7316" w:rsidP="005B7316">
      <w:pPr>
        <w:spacing w:line="360" w:lineRule="auto"/>
        <w:rPr>
          <w:color w:val="0E101A"/>
          <w:lang w:eastAsia="en-GB"/>
        </w:rPr>
      </w:pPr>
      <w:r w:rsidRPr="005B7316">
        <w:rPr>
          <w:b/>
          <w:bCs/>
          <w:color w:val="0E101A"/>
          <w:lang w:eastAsia="en-GB"/>
        </w:rPr>
        <w:t>Advantages:</w:t>
      </w:r>
    </w:p>
    <w:p w14:paraId="2AA4B7D8" w14:textId="77777777" w:rsidR="005B7316" w:rsidRPr="005B7316" w:rsidRDefault="005B7316" w:rsidP="005B7316">
      <w:pPr>
        <w:spacing w:line="360" w:lineRule="auto"/>
        <w:rPr>
          <w:color w:val="0E101A"/>
          <w:lang w:eastAsia="en-GB"/>
        </w:rPr>
      </w:pPr>
      <w:r w:rsidRPr="005B7316">
        <w:rPr>
          <w:color w:val="0E101A"/>
          <w:lang w:eastAsia="en-GB"/>
        </w:rPr>
        <w:t>- Full Mechanical and Environmental Protection.</w:t>
      </w:r>
    </w:p>
    <w:p w14:paraId="0C2D933E" w14:textId="77777777" w:rsidR="005B7316" w:rsidRPr="005B7316" w:rsidRDefault="005B7316" w:rsidP="005B7316">
      <w:pPr>
        <w:spacing w:line="360" w:lineRule="auto"/>
        <w:rPr>
          <w:color w:val="0E101A"/>
          <w:lang w:eastAsia="en-GB"/>
        </w:rPr>
      </w:pPr>
      <w:r w:rsidRPr="005B7316">
        <w:rPr>
          <w:color w:val="0E101A"/>
          <w:lang w:eastAsia="en-GB"/>
        </w:rPr>
        <w:lastRenderedPageBreak/>
        <w:t>- Efficient Thermal Performance.</w:t>
      </w:r>
    </w:p>
    <w:p w14:paraId="4B7666B9" w14:textId="77777777" w:rsidR="005B7316" w:rsidRPr="005B7316" w:rsidRDefault="005B7316" w:rsidP="005B7316">
      <w:pPr>
        <w:spacing w:line="360" w:lineRule="auto"/>
        <w:rPr>
          <w:color w:val="0E101A"/>
          <w:lang w:eastAsia="en-GB"/>
        </w:rPr>
      </w:pPr>
      <w:r w:rsidRPr="005B7316">
        <w:rPr>
          <w:color w:val="0E101A"/>
          <w:lang w:eastAsia="en-GB"/>
        </w:rPr>
        <w:t>- Noise Reduction.</w:t>
      </w:r>
    </w:p>
    <w:p w14:paraId="184F9FB3" w14:textId="77777777" w:rsidR="005B7316" w:rsidRPr="005B7316" w:rsidRDefault="005B7316" w:rsidP="005B7316">
      <w:pPr>
        <w:spacing w:line="360" w:lineRule="auto"/>
        <w:rPr>
          <w:color w:val="0E101A"/>
          <w:lang w:eastAsia="en-GB"/>
        </w:rPr>
      </w:pPr>
      <w:r w:rsidRPr="005B7316">
        <w:rPr>
          <w:color w:val="0E101A"/>
          <w:lang w:eastAsia="en-GB"/>
        </w:rPr>
        <w:t>- Single-Point Mounting.</w:t>
      </w:r>
    </w:p>
    <w:p w14:paraId="7695E050" w14:textId="77777777" w:rsidR="005B7316" w:rsidRDefault="005B7316" w:rsidP="005B7316">
      <w:pPr>
        <w:spacing w:line="360" w:lineRule="auto"/>
        <w:rPr>
          <w:b/>
          <w:bCs/>
          <w:color w:val="0E101A"/>
          <w:lang w:eastAsia="en-GB"/>
        </w:rPr>
      </w:pPr>
    </w:p>
    <w:p w14:paraId="41AE5D5C" w14:textId="56AAEEBE" w:rsidR="005B7316" w:rsidRPr="005B7316" w:rsidRDefault="005B7316" w:rsidP="005B7316">
      <w:pPr>
        <w:spacing w:line="360" w:lineRule="auto"/>
        <w:rPr>
          <w:color w:val="0E101A"/>
          <w:lang w:eastAsia="en-GB"/>
        </w:rPr>
      </w:pPr>
      <w:r w:rsidRPr="005B7316">
        <w:rPr>
          <w:b/>
          <w:bCs/>
          <w:color w:val="0E101A"/>
          <w:lang w:eastAsia="en-GB"/>
        </w:rPr>
        <w:t>Limitations:</w:t>
      </w:r>
    </w:p>
    <w:p w14:paraId="59406943" w14:textId="77777777" w:rsidR="005B7316" w:rsidRPr="005B7316" w:rsidRDefault="005B7316" w:rsidP="005B7316">
      <w:pPr>
        <w:spacing w:line="360" w:lineRule="auto"/>
        <w:rPr>
          <w:color w:val="0E101A"/>
          <w:lang w:eastAsia="en-GB"/>
        </w:rPr>
      </w:pPr>
      <w:r w:rsidRPr="005B7316">
        <w:rPr>
          <w:color w:val="0E101A"/>
          <w:lang w:eastAsia="en-GB"/>
        </w:rPr>
        <w:t>- Increased Weight.</w:t>
      </w:r>
    </w:p>
    <w:p w14:paraId="17131D30" w14:textId="77777777" w:rsidR="005B7316" w:rsidRPr="005B7316" w:rsidRDefault="005B7316" w:rsidP="005B7316">
      <w:pPr>
        <w:spacing w:line="360" w:lineRule="auto"/>
        <w:rPr>
          <w:color w:val="0E101A"/>
          <w:lang w:eastAsia="en-GB"/>
        </w:rPr>
      </w:pPr>
      <w:r w:rsidRPr="005B7316">
        <w:rPr>
          <w:color w:val="0E101A"/>
          <w:lang w:eastAsia="en-GB"/>
        </w:rPr>
        <w:t>- Higher Cost.</w:t>
      </w:r>
    </w:p>
    <w:p w14:paraId="535378DA" w14:textId="77777777" w:rsidR="005B7316" w:rsidRPr="005B7316" w:rsidRDefault="005B7316" w:rsidP="005B7316">
      <w:pPr>
        <w:spacing w:line="360" w:lineRule="auto"/>
        <w:rPr>
          <w:color w:val="0E101A"/>
          <w:lang w:eastAsia="en-GB"/>
        </w:rPr>
      </w:pPr>
      <w:r w:rsidRPr="005B7316">
        <w:rPr>
          <w:b/>
          <w:bCs/>
          <w:color w:val="0E101A"/>
          <w:lang w:eastAsia="en-GB"/>
        </w:rPr>
        <w:t>Specifying Notes:</w:t>
      </w:r>
      <w:r w:rsidRPr="005B7316">
        <w:rPr>
          <w:color w:val="0E101A"/>
          <w:lang w:eastAsia="en-GB"/>
        </w:rPr>
        <w:t xml:space="preserve"> While the hum reduction is valid, it should not be overemphasised, as toroidal transformers are inherently quieter. Use RFT-VV where mechanical protection, ingress resistance, and thermal stability are essential.</w:t>
      </w:r>
    </w:p>
    <w:p w14:paraId="08B4E340" w14:textId="77777777" w:rsidR="005B7316" w:rsidRDefault="005B7316" w:rsidP="005B7316">
      <w:pPr>
        <w:spacing w:line="360" w:lineRule="auto"/>
        <w:rPr>
          <w:b/>
          <w:bCs/>
          <w:color w:val="0E101A"/>
          <w:lang w:eastAsia="en-GB"/>
        </w:rPr>
      </w:pPr>
    </w:p>
    <w:p w14:paraId="445028CC" w14:textId="6ECB4F7A" w:rsidR="005B7316" w:rsidRDefault="005B7316" w:rsidP="005B7316">
      <w:pPr>
        <w:spacing w:line="360" w:lineRule="auto"/>
        <w:rPr>
          <w:b/>
          <w:bCs/>
          <w:color w:val="0E101A"/>
          <w:lang w:eastAsia="en-GB"/>
        </w:rPr>
      </w:pPr>
      <w:r w:rsidRPr="005B7316">
        <w:rPr>
          <w:b/>
          <w:bCs/>
          <w:color w:val="0E101A"/>
          <w:lang w:eastAsia="en-GB"/>
        </w:rPr>
        <w:t>Summary Table for Specifiers</w:t>
      </w:r>
    </w:p>
    <w:p w14:paraId="4A48EC22" w14:textId="3CD3AA5C" w:rsidR="005B7316" w:rsidRPr="005B7316" w:rsidRDefault="00E34A25" w:rsidP="005B7316">
      <w:pPr>
        <w:spacing w:line="360" w:lineRule="auto"/>
        <w:rPr>
          <w:color w:val="0E101A"/>
          <w:lang w:eastAsia="en-GB"/>
        </w:rPr>
      </w:pPr>
      <w:r>
        <w:rPr>
          <w:noProof/>
          <w:color w:val="0E101A"/>
          <w:lang w:eastAsia="en-GB"/>
        </w:rPr>
        <w:drawing>
          <wp:inline distT="0" distB="0" distL="0" distR="0" wp14:anchorId="1F3B626A" wp14:editId="51FD668A">
            <wp:extent cx="5731510" cy="1254760"/>
            <wp:effectExtent l="0" t="0" r="2540" b="2540"/>
            <wp:docPr id="313183923"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83923" name="Picture 1" descr="A close-up of a computer scree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254760"/>
                    </a:xfrm>
                    <a:prstGeom prst="rect">
                      <a:avLst/>
                    </a:prstGeom>
                  </pic:spPr>
                </pic:pic>
              </a:graphicData>
            </a:graphic>
          </wp:inline>
        </w:drawing>
      </w:r>
    </w:p>
    <w:p w14:paraId="5CAE7AA5" w14:textId="77777777" w:rsidR="005B7316" w:rsidRPr="005B7316" w:rsidRDefault="005B7316" w:rsidP="005B7316">
      <w:pPr>
        <w:spacing w:line="360" w:lineRule="auto"/>
        <w:rPr>
          <w:color w:val="0E101A"/>
          <w:lang w:eastAsia="en-GB"/>
        </w:rPr>
      </w:pPr>
      <w:r w:rsidRPr="005B7316">
        <w:rPr>
          <w:color w:val="0E101A"/>
          <w:lang w:eastAsia="en-GB"/>
        </w:rPr>
        <w:t>*This is a generalisation as described in the article; other factors can also determine the price of the transformer, as well as the total installed cost and lifetime cost.</w:t>
      </w:r>
    </w:p>
    <w:p w14:paraId="60C78F1B" w14:textId="77777777" w:rsidR="005B7316" w:rsidRDefault="005B7316" w:rsidP="005B7316">
      <w:pPr>
        <w:spacing w:line="360" w:lineRule="auto"/>
        <w:rPr>
          <w:b/>
          <w:bCs/>
          <w:color w:val="0E101A"/>
          <w:lang w:eastAsia="en-GB"/>
        </w:rPr>
      </w:pPr>
    </w:p>
    <w:p w14:paraId="2CA40660" w14:textId="3CE60E83" w:rsidR="005B7316" w:rsidRPr="005B7316" w:rsidRDefault="005B7316" w:rsidP="005B7316">
      <w:pPr>
        <w:spacing w:line="360" w:lineRule="auto"/>
        <w:rPr>
          <w:color w:val="0E101A"/>
          <w:lang w:eastAsia="en-GB"/>
        </w:rPr>
      </w:pPr>
      <w:r w:rsidRPr="005B7316">
        <w:rPr>
          <w:b/>
          <w:bCs/>
          <w:color w:val="0E101A"/>
          <w:lang w:eastAsia="en-GB"/>
        </w:rPr>
        <w:t>Conclusion</w:t>
      </w:r>
    </w:p>
    <w:p w14:paraId="2B956313" w14:textId="77777777" w:rsidR="005B7316" w:rsidRPr="005B7316" w:rsidRDefault="005B7316" w:rsidP="005B7316">
      <w:pPr>
        <w:spacing w:line="360" w:lineRule="auto"/>
        <w:rPr>
          <w:color w:val="0E101A"/>
          <w:lang w:eastAsia="en-GB"/>
        </w:rPr>
      </w:pPr>
      <w:r w:rsidRPr="005B7316">
        <w:rPr>
          <w:color w:val="0E101A"/>
          <w:lang w:eastAsia="en-GB"/>
        </w:rPr>
        <w:t>When specifying toroidal transformers, the choice between RFT-O, RFT-MV, and RFT-VV should be guided by a clear understanding of the installation environment, regulatory requirements, and mechanical constraints. Specifiers should consider not only electrical parameters but also the total cost of ownership — including ease of installation, reliability under stress, and the potential for long-term maintenance.</w:t>
      </w:r>
    </w:p>
    <w:p w14:paraId="7EE70245" w14:textId="77777777" w:rsidR="005B7316" w:rsidRPr="007C6EE9" w:rsidRDefault="005B7316" w:rsidP="00C74812">
      <w:pPr>
        <w:rPr>
          <w:b/>
          <w:bCs/>
          <w:lang w:val="en-US"/>
        </w:rPr>
      </w:pPr>
    </w:p>
    <w:p w14:paraId="6920539E" w14:textId="77777777" w:rsidR="00FF7291" w:rsidRPr="00552032" w:rsidRDefault="00FF7291" w:rsidP="00552032">
      <w:pPr>
        <w:rPr>
          <w:b/>
          <w:bCs/>
        </w:rPr>
      </w:pPr>
    </w:p>
    <w:p w14:paraId="385A5A90" w14:textId="0262C118" w:rsidR="00772D20" w:rsidRDefault="00772D20" w:rsidP="00772D20">
      <w:r>
        <w:rPr>
          <w:rFonts w:eastAsia="MS Mincho"/>
          <w:b/>
          <w:bCs/>
          <w:color w:val="1F497D"/>
        </w:rPr>
        <w:t>Ends:</w:t>
      </w:r>
      <w:r>
        <w:t xml:space="preserve"> </w:t>
      </w:r>
      <w:r w:rsidR="005B7316">
        <w:t>731</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lastRenderedPageBreak/>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1"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2CBB3714"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545EAD">
      <w:rPr>
        <w:rFonts w:ascii="Helvetica" w:eastAsia="MS Mincho" w:hAnsi="Helvetica" w:cs="Helvetica"/>
        <w:noProof/>
        <w:spacing w:val="-3"/>
      </w:rPr>
      <w:t>REO_PR Template July 2023</w:t>
    </w:r>
    <w:r w:rsidR="00545EAD">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57C31D75"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7C6EE9">
      <w:rPr>
        <w:b/>
        <w:bCs/>
        <w:sz w:val="28"/>
        <w:szCs w:val="28"/>
      </w:rPr>
      <w:t>May</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1129"/>
    <w:rsid w:val="000F24DD"/>
    <w:rsid w:val="001611C2"/>
    <w:rsid w:val="00172B73"/>
    <w:rsid w:val="00194053"/>
    <w:rsid w:val="001B272C"/>
    <w:rsid w:val="001C1D8F"/>
    <w:rsid w:val="001C3286"/>
    <w:rsid w:val="001D3AB6"/>
    <w:rsid w:val="001E6368"/>
    <w:rsid w:val="001E702E"/>
    <w:rsid w:val="002170E8"/>
    <w:rsid w:val="0022575F"/>
    <w:rsid w:val="002270F7"/>
    <w:rsid w:val="00230B33"/>
    <w:rsid w:val="0025576D"/>
    <w:rsid w:val="002567A2"/>
    <w:rsid w:val="0026330C"/>
    <w:rsid w:val="00277D9F"/>
    <w:rsid w:val="00282B1D"/>
    <w:rsid w:val="00285A17"/>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B7316"/>
    <w:rsid w:val="005C7DB0"/>
    <w:rsid w:val="005F099B"/>
    <w:rsid w:val="005F5970"/>
    <w:rsid w:val="0060790B"/>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C6EE9"/>
    <w:rsid w:val="007D0779"/>
    <w:rsid w:val="007D1E87"/>
    <w:rsid w:val="007E07A7"/>
    <w:rsid w:val="007E0C76"/>
    <w:rsid w:val="007E3756"/>
    <w:rsid w:val="008213FA"/>
    <w:rsid w:val="00826F2C"/>
    <w:rsid w:val="00830DDF"/>
    <w:rsid w:val="00835740"/>
    <w:rsid w:val="0084097B"/>
    <w:rsid w:val="0084599E"/>
    <w:rsid w:val="00847288"/>
    <w:rsid w:val="00863392"/>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9206B"/>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34A25"/>
    <w:rsid w:val="00E55A2E"/>
    <w:rsid w:val="00E71E4A"/>
    <w:rsid w:val="00E86215"/>
    <w:rsid w:val="00EA17ED"/>
    <w:rsid w:val="00EA4449"/>
    <w:rsid w:val="00EB5241"/>
    <w:rsid w:val="00EB7DD7"/>
    <w:rsid w:val="00ED290A"/>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37467F9A-C341-404F-BD3D-A8EE78A7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7C6EE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7C6EE9"/>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59"/>
    <w:rsid w:val="007C6EE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269243091">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306009076">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 w:id="1764522204">
          <w:marLeft w:val="0"/>
          <w:marRight w:val="0"/>
          <w:marTop w:val="0"/>
          <w:marBottom w:val="0"/>
          <w:divBdr>
            <w:top w:val="none" w:sz="0" w:space="0" w:color="auto"/>
            <w:left w:val="none" w:sz="0" w:space="0" w:color="auto"/>
            <w:bottom w:val="none" w:sz="0" w:space="0" w:color="auto"/>
            <w:right w:val="none" w:sz="0" w:space="0" w:color="auto"/>
          </w:divBdr>
        </w:div>
      </w:divsChild>
    </w:div>
    <w:div w:id="875577743">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630083627">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395012112">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 w:id="21448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pages/REO-UK-Ltd/2633305637687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O_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o.co.uk/n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5643</TotalTime>
  <Pages>4</Pages>
  <Words>690</Words>
  <Characters>4352</Characters>
  <Application>Microsoft Office Word</Application>
  <DocSecurity>0</DocSecurity>
  <Lines>108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2</cp:revision>
  <cp:lastPrinted>2023-06-20T08:09:00Z</cp:lastPrinted>
  <dcterms:created xsi:type="dcterms:W3CDTF">2025-05-15T11:07:00Z</dcterms:created>
  <dcterms:modified xsi:type="dcterms:W3CDTF">2025-05-29T12:35:00Z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