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539E" w14:textId="77777777" w:rsidR="00FF7291" w:rsidRDefault="00FF7291" w:rsidP="00552032">
      <w:pPr>
        <w:rPr>
          <w:b/>
          <w:bCs/>
        </w:rPr>
      </w:pPr>
    </w:p>
    <w:p w14:paraId="4615BEEA" w14:textId="77777777" w:rsidR="00641BCE" w:rsidRDefault="00641BCE" w:rsidP="00641BCE">
      <w:pPr>
        <w:pStyle w:val="Heading1"/>
      </w:pPr>
      <w:r>
        <w:t>Reverse Engineering Helps Overcome Obsolescence in UK Rail Power Components</w:t>
      </w:r>
    </w:p>
    <w:p w14:paraId="5059D83B" w14:textId="77777777" w:rsidR="00641BCE" w:rsidRPr="00641BCE" w:rsidRDefault="00641BCE" w:rsidP="00641BCE"/>
    <w:p w14:paraId="0D982EBF" w14:textId="224613F4" w:rsidR="00641BCE" w:rsidRPr="00641BCE" w:rsidRDefault="00641BCE" w:rsidP="00641BCE">
      <w:pPr>
        <w:pStyle w:val="Heading2"/>
        <w:spacing w:line="360" w:lineRule="auto"/>
      </w:pPr>
      <w:r w:rsidRPr="00641BCE">
        <w:t>Application</w:t>
      </w:r>
    </w:p>
    <w:p w14:paraId="6DF46EA6" w14:textId="77777777" w:rsidR="00641BCE" w:rsidRDefault="00641BCE" w:rsidP="00641BCE">
      <w:pPr>
        <w:spacing w:line="360" w:lineRule="auto"/>
      </w:pPr>
      <w:r>
        <w:t>Railway infrastructure | Power conditioning and magnetic components | Obsolescence mitigation</w:t>
      </w:r>
    </w:p>
    <w:p w14:paraId="5545CD24" w14:textId="77777777" w:rsidR="00641BCE" w:rsidRDefault="00641BCE" w:rsidP="00641BCE">
      <w:pPr>
        <w:pStyle w:val="Heading2"/>
        <w:spacing w:line="360" w:lineRule="auto"/>
      </w:pPr>
      <w:r>
        <w:t>Products Used</w:t>
      </w:r>
    </w:p>
    <w:p w14:paraId="71DBBB36" w14:textId="77777777" w:rsidR="00641BCE" w:rsidRDefault="00641BCE" w:rsidP="00641BCE">
      <w:pPr>
        <w:spacing w:line="360" w:lineRule="auto"/>
      </w:pPr>
      <w:r>
        <w:t>Rail chokes, inductors and bespoke magnetic components – REO Rail Solutions</w:t>
      </w:r>
    </w:p>
    <w:p w14:paraId="15A9FE5B" w14:textId="77777777" w:rsidR="00641BCE" w:rsidRDefault="00641BCE" w:rsidP="00641BCE">
      <w:pPr>
        <w:pStyle w:val="Heading2"/>
        <w:spacing w:line="360" w:lineRule="auto"/>
      </w:pPr>
      <w:r>
        <w:t>Background</w:t>
      </w:r>
    </w:p>
    <w:p w14:paraId="358FA6BA" w14:textId="77777777" w:rsidR="00641BCE" w:rsidRDefault="00641BCE" w:rsidP="00641BCE">
      <w:pPr>
        <w:spacing w:line="360" w:lineRule="auto"/>
      </w:pPr>
      <w:r>
        <w:t>Railway systems are designed for very long service lives, often exceeding 30 years. Over time, original components can become obsolete as manufacturers discontinue products or exit the market, creating challenges for operators maintaining ageing fleets and infrastructure.</w:t>
      </w:r>
      <w:r>
        <w:br/>
      </w:r>
      <w:r>
        <w:br/>
        <w:t>In the UK rail industry, magnetic components such as chokes, inductors and transformers are particularly affected, despite remaining critical to safe and reliable operation.</w:t>
      </w:r>
    </w:p>
    <w:p w14:paraId="21F4E337" w14:textId="77777777" w:rsidR="00641BCE" w:rsidRDefault="00641BCE" w:rsidP="00641BCE">
      <w:pPr>
        <w:spacing w:line="360" w:lineRule="auto"/>
      </w:pPr>
    </w:p>
    <w:p w14:paraId="62FBF3DA" w14:textId="77777777" w:rsidR="00641BCE" w:rsidRDefault="00641BCE" w:rsidP="00641BCE">
      <w:pPr>
        <w:spacing w:line="360" w:lineRule="auto"/>
      </w:pPr>
      <w:r>
        <w:t xml:space="preserve">REO has supported the rail industry for decades, including the acquisition of the </w:t>
      </w:r>
      <w:proofErr w:type="spellStart"/>
      <w:r>
        <w:t>Nieke</w:t>
      </w:r>
      <w:proofErr w:type="spellEnd"/>
      <w:r>
        <w:t xml:space="preserve"> brand and product line over 20 years ago. </w:t>
      </w:r>
      <w:proofErr w:type="spellStart"/>
      <w:r>
        <w:t>Nieke</w:t>
      </w:r>
      <w:proofErr w:type="spellEnd"/>
      <w:r>
        <w:t xml:space="preserve"> products remain widely recognised within railway engineering circles, and this legacy continues to inform REO’s approach to rail-qualified magnetic components and reverse-engineering support today.</w:t>
      </w:r>
    </w:p>
    <w:p w14:paraId="6031D89B" w14:textId="77777777" w:rsidR="00641BCE" w:rsidRDefault="00641BCE" w:rsidP="00641BCE">
      <w:pPr>
        <w:spacing w:line="360" w:lineRule="auto"/>
      </w:pPr>
    </w:p>
    <w:p w14:paraId="76C6DA91" w14:textId="77777777" w:rsidR="00641BCE" w:rsidRDefault="00641BCE" w:rsidP="00641BCE">
      <w:pPr>
        <w:pStyle w:val="Heading2"/>
        <w:spacing w:line="360" w:lineRule="auto"/>
      </w:pPr>
      <w:r>
        <w:t>The Challenge: Obsolescence and Continuity of Supply</w:t>
      </w:r>
    </w:p>
    <w:p w14:paraId="45BBEDDA" w14:textId="734F8DA5" w:rsidR="00641BCE" w:rsidRDefault="00641BCE" w:rsidP="00641BCE">
      <w:pPr>
        <w:spacing w:line="360" w:lineRule="auto"/>
      </w:pPr>
      <w:r>
        <w:t>When components become obsolete, spare availability diminishes</w:t>
      </w:r>
      <w:r>
        <w:t>,</w:t>
      </w:r>
      <w:r>
        <w:t xml:space="preserve"> and costs rise. In many cases, original drawings or technical data are unavailable, making direct </w:t>
      </w:r>
      <w:r>
        <w:lastRenderedPageBreak/>
        <w:t>replacement difficult. Without an effective strategy, critical systems may be exposed to increased downtime or risk.</w:t>
      </w:r>
    </w:p>
    <w:p w14:paraId="55A0A3BA" w14:textId="77777777" w:rsidR="00641BCE" w:rsidRDefault="00641BCE" w:rsidP="00641BCE">
      <w:pPr>
        <w:pStyle w:val="Heading2"/>
        <w:spacing w:line="360" w:lineRule="auto"/>
      </w:pPr>
      <w:r>
        <w:t>Reverse Engineering as a Solution</w:t>
      </w:r>
    </w:p>
    <w:p w14:paraId="0EB6071E" w14:textId="77777777" w:rsidR="00641BCE" w:rsidRDefault="00641BCE" w:rsidP="00641BCE">
      <w:pPr>
        <w:spacing w:line="360" w:lineRule="auto"/>
      </w:pPr>
      <w:r>
        <w:t>Reverse engineering allows obsolete components to be recreated by analysing existing parts to determine their electrical, mechanical and thermal characteristics. This enables the manufacture of accurate form-and-function replacements, often incorporating modern materials and improved performance.</w:t>
      </w:r>
    </w:p>
    <w:p w14:paraId="783BB6A1" w14:textId="77777777" w:rsidR="00641BCE" w:rsidRDefault="00641BCE" w:rsidP="002920A7">
      <w:pPr>
        <w:pStyle w:val="Title"/>
      </w:pPr>
      <w:r>
        <w:t>The REO Approach</w:t>
      </w:r>
    </w:p>
    <w:p w14:paraId="25DA2930" w14:textId="77777777" w:rsidR="00641BCE" w:rsidRDefault="00641BCE" w:rsidP="00641BCE">
      <w:pPr>
        <w:spacing w:line="360" w:lineRule="auto"/>
      </w:pPr>
      <w:r>
        <w:t>REO applies a structured reverse-engineering methodology that includes physical analysis, electrical characterisation under load, and the use of modern materials and manufacturing techniques. This approach enables the production of replacement components that meet current rail safety and performance standards while maintaining compatibility with existing systems.</w:t>
      </w:r>
    </w:p>
    <w:p w14:paraId="3D6AE317" w14:textId="77777777" w:rsidR="00641BCE" w:rsidRDefault="00641BCE" w:rsidP="00641BCE">
      <w:pPr>
        <w:pStyle w:val="Heading2"/>
        <w:spacing w:line="360" w:lineRule="auto"/>
      </w:pPr>
      <w:r>
        <w:t>Results &amp; Benefits</w:t>
      </w:r>
    </w:p>
    <w:p w14:paraId="4896BC3A" w14:textId="77777777" w:rsidR="00641BCE" w:rsidRDefault="00641BCE" w:rsidP="00641BCE">
      <w:pPr>
        <w:spacing w:line="360" w:lineRule="auto"/>
      </w:pPr>
      <w:r>
        <w:t>• Reduced risk from component obsolescence</w:t>
      </w:r>
      <w:r>
        <w:br/>
        <w:t>• Continued operational reliability of rail systems</w:t>
      </w:r>
      <w:r>
        <w:br/>
        <w:t>• Improved long-term performance and service life</w:t>
      </w:r>
      <w:r>
        <w:br/>
      </w:r>
      <w:r>
        <w:br/>
        <w:t>According to REO’s engineering team, reverse engineering provides a practical route to sustaining legacy rail systems without major redesign.</w:t>
      </w:r>
    </w:p>
    <w:p w14:paraId="59BFD2DD" w14:textId="77777777" w:rsidR="00641BCE" w:rsidRDefault="00641BCE" w:rsidP="00641BCE">
      <w:pPr>
        <w:pStyle w:val="Heading2"/>
        <w:spacing w:line="360" w:lineRule="auto"/>
      </w:pPr>
      <w:r>
        <w:t>Engineering Support for Rail Applications</w:t>
      </w:r>
    </w:p>
    <w:p w14:paraId="2F09414D" w14:textId="77777777" w:rsidR="00641BCE" w:rsidRDefault="00641BCE" w:rsidP="00641BCE">
      <w:pPr>
        <w:spacing w:line="360" w:lineRule="auto"/>
      </w:pPr>
      <w:r>
        <w:t>REO UK supports rail operators, integrators and manufacturers with application-specific engineering support, helping address obsolescence challenges through reverse-engineered and bespoke magnetic components.</w:t>
      </w:r>
    </w:p>
    <w:p w14:paraId="7D5126BE" w14:textId="77777777" w:rsidR="00772D20" w:rsidRDefault="00772D20" w:rsidP="00772D20"/>
    <w:p w14:paraId="2D483E76" w14:textId="77777777" w:rsidR="00772D20" w:rsidRDefault="00772D20" w:rsidP="00772D20">
      <w:pPr>
        <w:pStyle w:val="BodyCopy"/>
        <w:spacing w:before="0" w:after="0" w:line="240" w:lineRule="auto"/>
        <w:jc w:val="left"/>
        <w:rPr>
          <w:rFonts w:eastAsia="MS Mincho"/>
          <w:b/>
          <w:bCs/>
          <w:color w:val="1F497D"/>
        </w:rPr>
      </w:pPr>
    </w:p>
    <w:p w14:paraId="3A9A2FB9" w14:textId="77777777" w:rsidR="00E323F1" w:rsidRDefault="00E323F1"/>
    <w:sectPr w:rsidR="00E323F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5AAA32E7" w:rsidR="00C74812" w:rsidRPr="00C03BA0" w:rsidRDefault="00C74812" w:rsidP="00C74812">
    <w:pPr>
      <w:pStyle w:val="NormalWeb"/>
      <w:jc w:val="both"/>
      <w:rPr>
        <w:rFonts w:ascii="Helvetica" w:eastAsia="MS Mincho" w:hAnsi="Helvetica"/>
        <w:b/>
        <w:bCs/>
        <w:color w:val="CC3300"/>
        <w:spacing w:val="-3"/>
      </w:rPr>
    </w:pPr>
    <w:proofErr w:type="spellStart"/>
    <w:r w:rsidRPr="008E53C7">
      <w:rPr>
        <w:rFonts w:ascii="Helvetica" w:eastAsia="MS Mincho" w:hAnsi="Helvetica" w:cs="Helvetica"/>
        <w:b/>
        <w:bCs/>
        <w:color w:val="1F497D"/>
      </w:rPr>
      <w:t>Ref:</w:t>
    </w:r>
    <w:proofErr w:type="spellEnd"/>
    <w:r w:rsidR="002920A7">
      <w:rPr>
        <w:rFonts w:ascii="Helvetica" w:eastAsia="MS Mincho" w:hAnsi="Helvetica" w:cs="Helvetica"/>
        <w:b/>
        <w:bCs/>
        <w:color w:val="1F497D"/>
      </w:rPr>
      <w:fldChar w:fldCharType="begin"/>
    </w:r>
    <w:r w:rsidR="002920A7">
      <w:rPr>
        <w:rFonts w:ascii="Helvetica" w:eastAsia="MS Mincho" w:hAnsi="Helvetica" w:cs="Helvetica"/>
        <w:b/>
        <w:bCs/>
        <w:color w:val="1F497D"/>
      </w:rPr>
      <w:instrText xml:space="preserve"> FILENAME \* MERGEFORMAT </w:instrText>
    </w:r>
    <w:r w:rsidR="002920A7">
      <w:rPr>
        <w:rFonts w:ascii="Helvetica" w:eastAsia="MS Mincho" w:hAnsi="Helvetica" w:cs="Helvetica"/>
        <w:b/>
        <w:bCs/>
        <w:color w:val="1F497D"/>
      </w:rPr>
      <w:fldChar w:fldCharType="separate"/>
    </w:r>
    <w:r w:rsidR="002920A7">
      <w:rPr>
        <w:rFonts w:ascii="Helvetica" w:eastAsia="MS Mincho" w:hAnsi="Helvetica" w:cs="Helvetica"/>
        <w:b/>
        <w:bCs/>
        <w:noProof/>
        <w:color w:val="1F497D"/>
      </w:rPr>
      <w:t>REO2024-25_CS - Reverse Engineering in the UK rail industry</w:t>
    </w:r>
    <w:r w:rsidR="002920A7">
      <w:rPr>
        <w:rFonts w:ascii="Helvetica" w:eastAsia="MS Mincho" w:hAnsi="Helvetica" w:cs="Helvetica"/>
        <w:b/>
        <w:bCs/>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7B8D07EB" w:rsidR="00C74812" w:rsidRPr="00FF7291" w:rsidRDefault="00C74812" w:rsidP="00FF7291">
    <w:pPr>
      <w:pStyle w:val="Header"/>
      <w:jc w:val="center"/>
      <w:rPr>
        <w:b/>
        <w:bCs/>
        <w:sz w:val="28"/>
        <w:szCs w:val="28"/>
      </w:rPr>
    </w:pPr>
    <w:r w:rsidRPr="00FF7291">
      <w:rPr>
        <w:b/>
        <w:bCs/>
        <w:sz w:val="28"/>
        <w:szCs w:val="28"/>
      </w:rPr>
      <w:t xml:space="preserve">REO UK LTD </w:t>
    </w:r>
    <w:r w:rsidR="00D1366F">
      <w:rPr>
        <w:b/>
        <w:bCs/>
        <w:sz w:val="28"/>
        <w:szCs w:val="28"/>
      </w:rPr>
      <w:t>Case Study</w:t>
    </w:r>
    <w:r w:rsidR="00C12B51" w:rsidRPr="00FF7291">
      <w:rPr>
        <w:b/>
        <w:bCs/>
        <w:sz w:val="28"/>
        <w:szCs w:val="28"/>
      </w:rPr>
      <w:t xml:space="preserve"> – </w:t>
    </w:r>
    <w:r w:rsidR="00C51BB3">
      <w:rPr>
        <w:b/>
        <w:bCs/>
        <w:sz w:val="28"/>
        <w:szCs w:val="28"/>
      </w:rPr>
      <w:t>Jan</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20A7"/>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3E44"/>
    <w:rsid w:val="003C74A4"/>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330A"/>
    <w:rsid w:val="005C7DB0"/>
    <w:rsid w:val="005F099B"/>
    <w:rsid w:val="005F5970"/>
    <w:rsid w:val="00611526"/>
    <w:rsid w:val="00641BCE"/>
    <w:rsid w:val="00650052"/>
    <w:rsid w:val="00656C08"/>
    <w:rsid w:val="006778C1"/>
    <w:rsid w:val="00677B6F"/>
    <w:rsid w:val="00690B4B"/>
    <w:rsid w:val="006A5389"/>
    <w:rsid w:val="006A63B9"/>
    <w:rsid w:val="006B04D2"/>
    <w:rsid w:val="006B0547"/>
    <w:rsid w:val="006C6D97"/>
    <w:rsid w:val="006E5A69"/>
    <w:rsid w:val="006E73B9"/>
    <w:rsid w:val="006F1706"/>
    <w:rsid w:val="00711365"/>
    <w:rsid w:val="007206F6"/>
    <w:rsid w:val="00754B98"/>
    <w:rsid w:val="00760C17"/>
    <w:rsid w:val="00772D20"/>
    <w:rsid w:val="007745F1"/>
    <w:rsid w:val="00774F8F"/>
    <w:rsid w:val="00777545"/>
    <w:rsid w:val="00781EA6"/>
    <w:rsid w:val="00792353"/>
    <w:rsid w:val="0079317D"/>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D7874"/>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D4915"/>
    <w:rsid w:val="00CE456D"/>
    <w:rsid w:val="00CE7A21"/>
    <w:rsid w:val="00D06459"/>
    <w:rsid w:val="00D1366F"/>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3C3E44"/>
    <w:pPr>
      <w:outlineLvl w:val="0"/>
    </w:pPr>
    <w:rPr>
      <w:b/>
      <w:bCs/>
      <w:sz w:val="36"/>
      <w:szCs w:val="36"/>
    </w:rPr>
  </w:style>
  <w:style w:type="paragraph" w:styleId="Heading2">
    <w:name w:val="heading 2"/>
    <w:basedOn w:val="Normal"/>
    <w:next w:val="Normal"/>
    <w:link w:val="Heading2Char"/>
    <w:uiPriority w:val="9"/>
    <w:unhideWhenUsed/>
    <w:qFormat/>
    <w:rsid w:val="00641BCE"/>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3C3E44"/>
    <w:rPr>
      <w:rFonts w:ascii="Arial" w:eastAsia="Times New Roman" w:hAnsi="Arial" w:cs="Arial"/>
      <w:b/>
      <w:bCs/>
      <w:sz w:val="36"/>
      <w:szCs w:val="36"/>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aliases w:val="Lead Paragraph"/>
    <w:basedOn w:val="NoSpacing"/>
    <w:next w:val="Normal"/>
    <w:link w:val="TitleChar"/>
    <w:uiPriority w:val="10"/>
    <w:qFormat/>
    <w:rsid w:val="00CD4915"/>
    <w:pPr>
      <w:spacing w:line="360" w:lineRule="auto"/>
    </w:pPr>
    <w:rPr>
      <w:b/>
      <w:bCs/>
    </w:rPr>
  </w:style>
  <w:style w:type="character" w:customStyle="1" w:styleId="TitleChar">
    <w:name w:val="Title Char"/>
    <w:aliases w:val="Lead Paragraph Char"/>
    <w:basedOn w:val="DefaultParagraphFont"/>
    <w:link w:val="Title"/>
    <w:uiPriority w:val="10"/>
    <w:rsid w:val="00CD4915"/>
    <w:rPr>
      <w:rFonts w:ascii="Arial" w:eastAsia="Times New Roman" w:hAnsi="Arial" w:cs="Arial"/>
      <w:b/>
      <w:bCs/>
      <w:sz w:val="24"/>
      <w:szCs w:val="24"/>
    </w:rPr>
  </w:style>
  <w:style w:type="character" w:customStyle="1" w:styleId="Heading2Char">
    <w:name w:val="Heading 2 Char"/>
    <w:basedOn w:val="DefaultParagraphFont"/>
    <w:link w:val="Heading2"/>
    <w:uiPriority w:val="9"/>
    <w:rsid w:val="00641BCE"/>
    <w:rPr>
      <w:rFonts w:ascii="Arial" w:eastAsiaTheme="majorEastAsia" w:hAnsi="Arial" w:cs="Arial"/>
      <w:b/>
      <w:bCs/>
      <w:sz w:val="32"/>
      <w:szCs w:val="32"/>
    </w:rPr>
  </w:style>
  <w:style w:type="paragraph" w:styleId="NoSpacing">
    <w:name w:val="No Spacing"/>
    <w:aliases w:val="Lead"/>
    <w:uiPriority w:val="1"/>
    <w:rsid w:val="00CD4915"/>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2025-12-22T14:17:00Z</dcterms:created>
  <dcterms:modified xsi:type="dcterms:W3CDTF">2025-12-22T14:18:00Z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